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266983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社会基盤環境工学</w:t>
      </w:r>
      <w:r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0C64FE60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Pr="000F5606">
        <w:t>Civil and Environmental Engineering</w:t>
      </w:r>
      <w:r>
        <w:rPr>
          <w:rFonts w:hint="eastAsia"/>
        </w:rPr>
        <w:t xml:space="preserve"> Program</w:t>
      </w:r>
    </w:p>
    <w:p w14:paraId="431D121E" w14:textId="77777777" w:rsidR="00A07EC5" w:rsidRPr="002502A7" w:rsidRDefault="00A07EC5"/>
    <w:p w14:paraId="4D4CED01" w14:textId="04E3E899" w:rsidR="00464FE8" w:rsidRPr="002519AD" w:rsidRDefault="00270B0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試験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1B2D0C9E" w14:textId="2126549E" w:rsidR="00464FE8" w:rsidRPr="002519AD" w:rsidRDefault="00464FE8" w:rsidP="00270B08">
      <w:pPr>
        <w:ind w:leftChars="100" w:left="210"/>
      </w:pPr>
      <w:r w:rsidRPr="002519AD">
        <w:rPr>
          <w:rFonts w:hint="eastAsia"/>
        </w:rPr>
        <w:t xml:space="preserve">　</w:t>
      </w:r>
      <w:r w:rsidR="0094779B" w:rsidRPr="002519AD">
        <w:rPr>
          <w:rFonts w:hint="eastAsia"/>
        </w:rPr>
        <w:t>社会基盤環境</w:t>
      </w:r>
      <w:r w:rsidRPr="002519AD">
        <w:rPr>
          <w:rFonts w:hint="eastAsia"/>
        </w:rPr>
        <w:t>工学</w:t>
      </w:r>
      <w:r w:rsidR="00270B08">
        <w:rPr>
          <w:rFonts w:hint="eastAsia"/>
        </w:rPr>
        <w:t>プログラム</w:t>
      </w:r>
      <w:r w:rsidRPr="002519AD">
        <w:rPr>
          <w:rFonts w:hint="eastAsia"/>
        </w:rPr>
        <w:t>を</w:t>
      </w:r>
      <w:r w:rsidR="00270B08">
        <w:rPr>
          <w:rFonts w:hint="eastAsia"/>
        </w:rPr>
        <w:t>志望</w:t>
      </w:r>
      <w:r w:rsidRPr="002519AD">
        <w:rPr>
          <w:rFonts w:hint="eastAsia"/>
        </w:rPr>
        <w:t>する者は，出願の際に</w:t>
      </w:r>
      <w:r w:rsidR="00F61B84" w:rsidRPr="002519AD">
        <w:rPr>
          <w:rFonts w:hint="eastAsia"/>
        </w:rPr>
        <w:t>学</w:t>
      </w:r>
      <w:bookmarkStart w:id="0" w:name="_GoBack"/>
      <w:bookmarkEnd w:id="0"/>
      <w:r w:rsidR="00F61B84" w:rsidRPr="002519AD">
        <w:rPr>
          <w:rFonts w:hint="eastAsia"/>
        </w:rPr>
        <w:t>力検査科目のうち，</w:t>
      </w:r>
      <w:r w:rsidRPr="002519AD">
        <w:rPr>
          <w:rFonts w:hint="eastAsia"/>
        </w:rPr>
        <w:t>専門科目</w:t>
      </w:r>
      <w:r w:rsidR="00F10C31">
        <w:rPr>
          <w:rFonts w:hint="eastAsia"/>
        </w:rPr>
        <w:t>I</w:t>
      </w:r>
      <w:r w:rsidRPr="002519AD">
        <w:rPr>
          <w:rFonts w:hint="eastAsia"/>
        </w:rPr>
        <w:t>の</w:t>
      </w:r>
      <w:r w:rsidR="00F10C31">
        <w:rPr>
          <w:rFonts w:hint="eastAsia"/>
        </w:rPr>
        <w:t>6</w:t>
      </w:r>
      <w:r w:rsidR="00F10C31" w:rsidRPr="002519AD">
        <w:rPr>
          <w:rFonts w:hint="eastAsia"/>
        </w:rPr>
        <w:t>科目</w:t>
      </w:r>
      <w:r w:rsidRPr="002519AD">
        <w:rPr>
          <w:rFonts w:hint="eastAsia"/>
        </w:rPr>
        <w:t>から</w:t>
      </w:r>
      <w:r w:rsidR="0094779B" w:rsidRPr="002519AD">
        <w:rPr>
          <w:rFonts w:hint="eastAsia"/>
        </w:rPr>
        <w:t>１</w:t>
      </w:r>
      <w:r w:rsidRPr="002519AD">
        <w:rPr>
          <w:rFonts w:hint="eastAsia"/>
        </w:rPr>
        <w:t>科目を選択</w:t>
      </w:r>
      <w:r w:rsidR="00270B08">
        <w:rPr>
          <w:rFonts w:hint="eastAsia"/>
        </w:rPr>
        <w:t>し，提出してください。</w:t>
      </w:r>
      <w:r w:rsidR="00FD47FA" w:rsidRPr="002519AD">
        <w:rPr>
          <w:rFonts w:hint="eastAsia"/>
        </w:rPr>
        <w:t>出願後は</w:t>
      </w:r>
      <w:r w:rsidR="00270B08">
        <w:rPr>
          <w:rFonts w:hint="eastAsia"/>
        </w:rPr>
        <w:t>試験</w:t>
      </w:r>
      <w:r w:rsidR="00FD47FA" w:rsidRPr="002519AD">
        <w:rPr>
          <w:rFonts w:hint="eastAsia"/>
        </w:rPr>
        <w:t>科目の変更はできません。</w:t>
      </w:r>
    </w:p>
    <w:p w14:paraId="2A49C74A" w14:textId="77777777" w:rsidR="00FD47FA" w:rsidRPr="002519AD" w:rsidRDefault="00FD47FA"/>
    <w:p w14:paraId="6B6F3D11" w14:textId="5688FBBA" w:rsidR="00F61B84" w:rsidRPr="002519AD" w:rsidRDefault="00453E9B">
      <w:pPr>
        <w:rPr>
          <w:b/>
        </w:rPr>
      </w:pPr>
      <w:r w:rsidRPr="002519AD">
        <w:rPr>
          <w:rFonts w:hint="eastAsia"/>
          <w:b/>
        </w:rPr>
        <w:t xml:space="preserve">Registration of selected subject in Specialized Subject </w:t>
      </w:r>
      <w:r w:rsidR="00515E11">
        <w:rPr>
          <w:b/>
        </w:rPr>
        <w:t>1</w:t>
      </w:r>
    </w:p>
    <w:p w14:paraId="2586B78E" w14:textId="6F791953" w:rsidR="00454670" w:rsidRPr="002519AD" w:rsidRDefault="00270B08" w:rsidP="00453E9B">
      <w:pPr>
        <w:ind w:leftChars="100" w:left="210"/>
      </w:pPr>
      <w:r>
        <w:rPr>
          <w:rFonts w:hint="eastAsia"/>
        </w:rPr>
        <w:t xml:space="preserve">Applicants for </w:t>
      </w:r>
      <w:r w:rsidR="0094779B" w:rsidRPr="002519AD">
        <w:t>Civil and Environmental Engineering</w:t>
      </w:r>
      <w:r>
        <w:rPr>
          <w:rFonts w:hint="eastAsia"/>
        </w:rPr>
        <w:t xml:space="preserve"> Program</w:t>
      </w:r>
      <w:r w:rsidR="00454670" w:rsidRPr="002519AD">
        <w:rPr>
          <w:rFonts w:hint="eastAsia"/>
        </w:rPr>
        <w:t xml:space="preserve"> must select </w:t>
      </w:r>
      <w:r w:rsidR="0094779B" w:rsidRPr="002519AD">
        <w:rPr>
          <w:rFonts w:hint="eastAsia"/>
        </w:rPr>
        <w:t>one</w:t>
      </w:r>
      <w:r w:rsidR="00454670" w:rsidRPr="002519AD">
        <w:rPr>
          <w:rFonts w:hint="eastAsia"/>
        </w:rPr>
        <w:t xml:space="preserve"> subject </w:t>
      </w:r>
      <w:r w:rsidR="004F55AD" w:rsidRPr="002519AD">
        <w:rPr>
          <w:rFonts w:hint="eastAsia"/>
        </w:rPr>
        <w:t>from</w:t>
      </w:r>
      <w:r w:rsidR="00454670" w:rsidRPr="002519AD">
        <w:rPr>
          <w:rFonts w:hint="eastAsia"/>
        </w:rPr>
        <w:t xml:space="preserve"> </w:t>
      </w:r>
      <w:r w:rsidR="00F10C31">
        <w:t>six</w:t>
      </w:r>
      <w:r w:rsidR="00F10C31" w:rsidRPr="002519AD">
        <w:rPr>
          <w:rFonts w:hint="eastAsia"/>
        </w:rPr>
        <w:t xml:space="preserve"> </w:t>
      </w:r>
      <w:r w:rsidR="003F13CC" w:rsidRPr="002519AD">
        <w:rPr>
          <w:rFonts w:hint="eastAsia"/>
        </w:rPr>
        <w:t>subjects</w:t>
      </w:r>
      <w:r w:rsidR="00976A22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 xml:space="preserve">in Specialized Subject </w:t>
      </w:r>
      <w:r w:rsidR="00F10C31">
        <w:t>1</w:t>
      </w:r>
      <w:r w:rsidR="00F10C31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>of Entrance Exam Subject</w:t>
      </w:r>
      <w:r w:rsidR="00976A22" w:rsidRPr="002519AD">
        <w:rPr>
          <w:rFonts w:hint="eastAsia"/>
        </w:rPr>
        <w:t xml:space="preserve">. The selected subject cannot be changed after the </w:t>
      </w:r>
      <w:r w:rsidR="00976A22" w:rsidRPr="002519AD">
        <w:t>application</w:t>
      </w:r>
      <w:r w:rsidR="00976A22" w:rsidRPr="002519AD">
        <w:rPr>
          <w:rFonts w:hint="eastAsia"/>
        </w:rPr>
        <w:t xml:space="preserve">. 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2519AD" w14:paraId="24CB8FF7" w14:textId="77777777" w:rsidTr="006066FC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gridSpan w:val="2"/>
          </w:tcPr>
          <w:p w14:paraId="2B20CFAB" w14:textId="77777777" w:rsidR="006B7314" w:rsidRPr="002519AD" w:rsidRDefault="006B7314"/>
        </w:tc>
      </w:tr>
      <w:tr w:rsidR="000F5606" w:rsidRPr="000F5606" w14:paraId="12CB305D" w14:textId="77777777" w:rsidTr="0015556E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3D88E456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選択科目</w:t>
            </w:r>
          </w:p>
          <w:p w14:paraId="47AC8DEF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Selected Subjects</w:t>
            </w:r>
          </w:p>
          <w:p w14:paraId="41CDE9BC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138C97F5" w14:textId="13CD7DA4" w:rsidR="006066FC" w:rsidRPr="000F5606" w:rsidRDefault="006066FC" w:rsidP="0015556E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右記の</w:t>
            </w:r>
            <w:r w:rsidR="00F10C31">
              <w:rPr>
                <w:rFonts w:hint="eastAsia"/>
                <w:sz w:val="24"/>
                <w:szCs w:val="24"/>
              </w:rPr>
              <w:t>6</w:t>
            </w:r>
            <w:r w:rsidR="00F10C31" w:rsidRPr="000F5606">
              <w:rPr>
                <w:rFonts w:hint="eastAsia"/>
                <w:sz w:val="24"/>
                <w:szCs w:val="24"/>
              </w:rPr>
              <w:t>科目</w:t>
            </w:r>
            <w:r w:rsidRPr="000F5606">
              <w:rPr>
                <w:rFonts w:hint="eastAsia"/>
                <w:sz w:val="24"/>
                <w:szCs w:val="24"/>
              </w:rPr>
              <w:t>から１科目を選択し，選択科目に○印を付けて下さい。</w:t>
            </w:r>
          </w:p>
          <w:p w14:paraId="13AE507F" w14:textId="4D59B30D" w:rsidR="006066FC" w:rsidRPr="000F5606" w:rsidRDefault="006066FC" w:rsidP="00F10C31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 xml:space="preserve">Please mark one selected subject with </w:t>
            </w:r>
            <w:r w:rsidRPr="000F5606">
              <w:rPr>
                <w:rFonts w:hint="eastAsia"/>
                <w:sz w:val="24"/>
                <w:szCs w:val="24"/>
              </w:rPr>
              <w:t>○</w:t>
            </w:r>
            <w:r w:rsidRPr="000F5606">
              <w:rPr>
                <w:rFonts w:hint="eastAsia"/>
                <w:sz w:val="24"/>
                <w:szCs w:val="24"/>
              </w:rPr>
              <w:t xml:space="preserve"> from the following </w:t>
            </w:r>
            <w:r w:rsidR="00F10C31">
              <w:rPr>
                <w:sz w:val="24"/>
                <w:szCs w:val="24"/>
              </w:rPr>
              <w:t>six</w:t>
            </w:r>
            <w:r w:rsidR="00F10C31" w:rsidRPr="000F5606">
              <w:rPr>
                <w:rFonts w:hint="eastAsia"/>
                <w:sz w:val="24"/>
                <w:szCs w:val="24"/>
              </w:rPr>
              <w:t xml:space="preserve"> </w:t>
            </w:r>
            <w:r w:rsidRPr="000F5606">
              <w:rPr>
                <w:rFonts w:hint="eastAsia"/>
                <w:sz w:val="24"/>
                <w:szCs w:val="24"/>
              </w:rPr>
              <w:t>subjects.</w:t>
            </w:r>
          </w:p>
        </w:tc>
        <w:tc>
          <w:tcPr>
            <w:tcW w:w="548" w:type="dxa"/>
          </w:tcPr>
          <w:p w14:paraId="2152DE59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Structural Engineering (strength of material, structural mechanics, and energy principles)</w:t>
            </w:r>
          </w:p>
        </w:tc>
      </w:tr>
      <w:tr w:rsidR="000F5606" w:rsidRPr="000F5606" w14:paraId="491EB9A4" w14:textId="77777777" w:rsidTr="0015556E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D8F9042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コンクリート工学（コンクリート用材料，フレッシュ</w:t>
            </w:r>
            <w:r w:rsidR="00D0761A" w:rsidRPr="000F5606">
              <w:rPr>
                <w:rFonts w:hint="eastAsia"/>
                <w:sz w:val="20"/>
                <w:szCs w:val="20"/>
              </w:rPr>
              <w:t>および</w:t>
            </w:r>
            <w:r w:rsidRPr="000F5606">
              <w:rPr>
                <w:rFonts w:hint="eastAsia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0F5606" w:rsidRDefault="006066FC" w:rsidP="00D0761A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 xml:space="preserve">Concrete Engineering (materials for concrete, properties of fresh </w:t>
            </w:r>
            <w:r w:rsidR="00D0761A" w:rsidRPr="000F5606">
              <w:rPr>
                <w:sz w:val="20"/>
                <w:szCs w:val="20"/>
              </w:rPr>
              <w:t xml:space="preserve">and hardened concrete, and </w:t>
            </w:r>
            <w:r w:rsidRPr="000F5606">
              <w:rPr>
                <w:sz w:val="20"/>
                <w:szCs w:val="20"/>
              </w:rPr>
              <w:t>concrete structure)</w:t>
            </w:r>
          </w:p>
        </w:tc>
      </w:tr>
      <w:tr w:rsidR="000F5606" w:rsidRPr="000F5606" w14:paraId="75BFD5A2" w14:textId="77777777" w:rsidTr="0015556E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27B6D098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0F5606" w14:paraId="2F1FF6D4" w14:textId="77777777" w:rsidTr="0015556E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B1D7FA1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Sanitary and Environmental Engineering  (water chemistry, water supply and sewerage systems, microbial ecology,      and kinetics)</w:t>
            </w:r>
          </w:p>
        </w:tc>
      </w:tr>
      <w:tr w:rsidR="000F5606" w:rsidRPr="000F5606" w14:paraId="31524F32" w14:textId="77777777" w:rsidTr="0015556E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3B67FC6C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0F5606" w14:paraId="12899A38" w14:textId="77777777" w:rsidTr="0015556E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656E374B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Infrastructure and Transportation Planning (city planning and transportation demand for</w:t>
            </w:r>
            <w:r w:rsidR="00302566" w:rsidRPr="000F5606">
              <w:rPr>
                <w:sz w:val="20"/>
                <w:szCs w:val="20"/>
              </w:rPr>
              <w:t>e</w:t>
            </w:r>
            <w:r w:rsidRPr="000F5606">
              <w:rPr>
                <w:sz w:val="20"/>
                <w:szCs w:val="20"/>
              </w:rPr>
              <w:t>casting)</w:t>
            </w:r>
          </w:p>
        </w:tc>
      </w:tr>
    </w:tbl>
    <w:p w14:paraId="2A174C83" w14:textId="59A2683F" w:rsidR="004352C2" w:rsidRPr="000F5606" w:rsidRDefault="004352C2" w:rsidP="004352C2">
      <w:pPr>
        <w:jc w:val="center"/>
      </w:pPr>
      <w:r w:rsidRPr="000F5606">
        <w:rPr>
          <w:rFonts w:hint="eastAsia"/>
        </w:rPr>
        <w:t>―裏面に続く</w:t>
      </w:r>
      <w:r w:rsidR="0082717D" w:rsidRPr="000F5606">
        <w:rPr>
          <w:rFonts w:hint="eastAsia"/>
        </w:rPr>
        <w:t xml:space="preserve"> Go to the next page</w:t>
      </w:r>
      <w:r w:rsidRPr="000F5606">
        <w:rPr>
          <w:rFonts w:hint="eastAsia"/>
        </w:rPr>
        <w:t>―</w:t>
      </w:r>
    </w:p>
    <w:p w14:paraId="7A3D6750" w14:textId="77777777" w:rsidR="004352C2" w:rsidRDefault="004352C2" w:rsidP="004352C2"/>
    <w:p w14:paraId="365ED979" w14:textId="77777777" w:rsidR="00270B08" w:rsidRDefault="00270B08" w:rsidP="004352C2"/>
    <w:p w14:paraId="6FC9D105" w14:textId="77777777" w:rsidR="00270B08" w:rsidRDefault="00270B08" w:rsidP="004352C2"/>
    <w:p w14:paraId="27644BB4" w14:textId="77777777" w:rsidR="00270B08" w:rsidRDefault="00270B08" w:rsidP="004352C2"/>
    <w:p w14:paraId="4DB8EDF7" w14:textId="669E25F5" w:rsidR="00270B08" w:rsidRDefault="00270B08" w:rsidP="004352C2"/>
    <w:p w14:paraId="5C230CA2" w14:textId="77777777" w:rsidR="007F25D8" w:rsidRDefault="007F25D8" w:rsidP="004352C2"/>
    <w:p w14:paraId="14B506FB" w14:textId="47A87A84" w:rsidR="00F10C31" w:rsidRDefault="00F10C31" w:rsidP="004352C2"/>
    <w:p w14:paraId="257107BA" w14:textId="77777777" w:rsidR="007F25D8" w:rsidRDefault="007F25D8" w:rsidP="004352C2"/>
    <w:p w14:paraId="61D255CB" w14:textId="77777777" w:rsidR="00270B08" w:rsidRDefault="00270B08" w:rsidP="002502A7">
      <w:pPr>
        <w:adjustRightInd w:val="0"/>
        <w:snapToGrid w:val="0"/>
        <w:rPr>
          <w:kern w:val="0"/>
          <w:sz w:val="32"/>
          <w:szCs w:val="32"/>
        </w:rPr>
      </w:pPr>
    </w:p>
    <w:p w14:paraId="133AA646" w14:textId="2D95AB1D" w:rsidR="00270B08" w:rsidRPr="00266983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社会基盤環境工学</w:t>
      </w:r>
      <w:r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レビュー論文リスト</w:t>
      </w:r>
    </w:p>
    <w:p w14:paraId="08828BD2" w14:textId="767EC681" w:rsidR="00270B08" w:rsidRDefault="002502A7" w:rsidP="002502A7">
      <w:pPr>
        <w:ind w:leftChars="337" w:left="708" w:rightChars="336" w:right="706"/>
      </w:pPr>
      <w:r>
        <w:rPr>
          <w:rFonts w:hint="eastAsia"/>
        </w:rPr>
        <w:t xml:space="preserve">The </w:t>
      </w:r>
      <w:r w:rsidR="00270B08">
        <w:rPr>
          <w:rFonts w:hint="eastAsia"/>
        </w:rPr>
        <w:t>L</w:t>
      </w:r>
      <w:r w:rsidR="00270B08" w:rsidRPr="000F5606">
        <w:t>ist of reviewed papers regarding Essay</w:t>
      </w:r>
      <w:r w:rsidR="00270B08">
        <w:rPr>
          <w:rFonts w:hint="eastAsia"/>
        </w:rPr>
        <w:t xml:space="preserve"> </w:t>
      </w:r>
      <w:r>
        <w:rPr>
          <w:rFonts w:hint="eastAsia"/>
        </w:rPr>
        <w:t xml:space="preserve">for </w:t>
      </w:r>
      <w:r w:rsidR="00270B08" w:rsidRPr="000F5606">
        <w:rPr>
          <w:rFonts w:hint="eastAsia"/>
        </w:rPr>
        <w:t>A</w:t>
      </w:r>
      <w:r w:rsidR="00270B08">
        <w:rPr>
          <w:rFonts w:hint="eastAsia"/>
        </w:rPr>
        <w:t xml:space="preserve">pplicants of </w:t>
      </w:r>
      <w:r w:rsidR="00270B08" w:rsidRPr="000F5606">
        <w:t>Civil and Environmental Engineering</w:t>
      </w:r>
      <w:r w:rsidR="00270B08">
        <w:rPr>
          <w:rFonts w:hint="eastAsia"/>
        </w:rPr>
        <w:t xml:space="preserve"> Program</w:t>
      </w:r>
    </w:p>
    <w:p w14:paraId="496A9785" w14:textId="77777777" w:rsidR="002502A7" w:rsidRDefault="002502A7" w:rsidP="004352C2"/>
    <w:p w14:paraId="7EDCF081" w14:textId="7FD995A9" w:rsidR="004352C2" w:rsidRPr="000F5606" w:rsidRDefault="004352C2" w:rsidP="006066FC">
      <w:pPr>
        <w:rPr>
          <w:rFonts w:ascii="ＭＳ ゴシック" w:eastAsia="ＭＳ ゴシック" w:hAnsi="ＭＳ ゴシック"/>
          <w:b/>
        </w:rPr>
      </w:pPr>
      <w:r w:rsidRPr="000F5606">
        <w:rPr>
          <w:rFonts w:ascii="ＭＳ ゴシック" w:eastAsia="ＭＳ ゴシック" w:hAnsi="ＭＳ ゴシック"/>
          <w:b/>
        </w:rPr>
        <w:t>専門科目</w:t>
      </w:r>
      <w:r w:rsidRPr="000F5606">
        <w:rPr>
          <w:rFonts w:ascii="ＭＳ ゴシック" w:eastAsia="ＭＳ ゴシック" w:hAnsi="ＭＳ ゴシック" w:cs="ＭＳ 明朝"/>
          <w:b/>
        </w:rPr>
        <w:t>Ⅱ</w:t>
      </w:r>
      <w:r w:rsidRPr="000F5606">
        <w:rPr>
          <w:rFonts w:ascii="ＭＳ ゴシック" w:eastAsia="ＭＳ ゴシック" w:hAnsi="ＭＳ ゴシック"/>
          <w:b/>
        </w:rPr>
        <w:t>の小論文</w:t>
      </w:r>
      <w:r w:rsidR="00F10C31">
        <w:rPr>
          <w:rFonts w:ascii="ＭＳ ゴシック" w:eastAsia="ＭＳ ゴシック" w:hAnsi="ＭＳ ゴシック" w:hint="eastAsia"/>
          <w:b/>
        </w:rPr>
        <w:t>B</w:t>
      </w:r>
      <w:r w:rsidRPr="000F5606">
        <w:rPr>
          <w:rFonts w:ascii="ＭＳ ゴシック" w:eastAsia="ＭＳ ゴシック" w:hAnsi="ＭＳ ゴシック"/>
          <w:b/>
        </w:rPr>
        <w:t>（「希望研究課題に関する先行研究のレビュー」）におけるレビュー論文リストの提出について</w:t>
      </w:r>
    </w:p>
    <w:p w14:paraId="5ADEF99B" w14:textId="55A3C113" w:rsidR="004352C2" w:rsidRPr="000F5606" w:rsidRDefault="004352C2" w:rsidP="004352C2">
      <w:pPr>
        <w:ind w:leftChars="100" w:left="210"/>
      </w:pPr>
      <w:r w:rsidRPr="000F5606">
        <w:t xml:space="preserve">　社会基盤環境</w:t>
      </w:r>
      <w:r w:rsidR="00270B08">
        <w:rPr>
          <w:rFonts w:hint="eastAsia"/>
        </w:rPr>
        <w:t>プログラム</w:t>
      </w:r>
      <w:r w:rsidRPr="000F5606">
        <w:t>を</w:t>
      </w:r>
      <w:r w:rsidR="00270B08">
        <w:rPr>
          <w:rFonts w:hint="eastAsia"/>
        </w:rPr>
        <w:t>志望</w:t>
      </w:r>
      <w:r w:rsidRPr="000F5606">
        <w:t>する者は，専門科目</w:t>
      </w:r>
      <w:r w:rsidRPr="000F5606">
        <w:rPr>
          <w:rFonts w:ascii="ＭＳ 明朝" w:hAnsi="ＭＳ 明朝" w:cs="ＭＳ 明朝"/>
        </w:rPr>
        <w:t>Ⅱ</w:t>
      </w:r>
      <w:r w:rsidRPr="000F5606">
        <w:t>の試験時に，小論文</w:t>
      </w:r>
      <w:r w:rsidR="00F10C31">
        <w:rPr>
          <w:rFonts w:hint="eastAsia"/>
        </w:rPr>
        <w:t>B</w:t>
      </w:r>
      <w:r w:rsidRPr="000F5606">
        <w:t>（「希望研究課題に関する先行研究のレビュー」）におけるレビュー論文リストの提出を求めます。この論文リストは，小論文</w:t>
      </w:r>
      <w:r w:rsidR="00F10C31">
        <w:rPr>
          <w:rFonts w:hint="eastAsia"/>
        </w:rPr>
        <w:t>B</w:t>
      </w:r>
      <w:r w:rsidRPr="000F5606">
        <w:t>（「希望研究課題に関する先行研究のレビュー」）の解答時に参照することができます。論文リストは，以下の</w:t>
      </w:r>
      <w:r w:rsidRPr="000F5606">
        <w:t>URL</w:t>
      </w:r>
      <w:r w:rsidRPr="000F5606">
        <w:t>にある書式に従い，必ず事前に作成してください。なお，論文リストの中に，書式に含まれている情報以外の記述がある場合には，</w:t>
      </w:r>
      <w:r w:rsidR="006B60B4" w:rsidRPr="000F5606">
        <w:rPr>
          <w:rFonts w:hint="eastAsia"/>
        </w:rPr>
        <w:t>解答作成時に論文リストを参照することができなくなります</w:t>
      </w:r>
      <w:r w:rsidRPr="000F5606">
        <w:t>ので，十分に注意してください。</w:t>
      </w:r>
    </w:p>
    <w:p w14:paraId="0997F13F" w14:textId="45D56D4D" w:rsidR="00973B70" w:rsidRPr="000F5606" w:rsidRDefault="00973B70" w:rsidP="00973B70">
      <w:pPr>
        <w:ind w:leftChars="100" w:left="210"/>
        <w:jc w:val="center"/>
      </w:pPr>
      <w:r w:rsidRPr="000F5606">
        <w:rPr>
          <w:rFonts w:hint="eastAsia"/>
        </w:rPr>
        <w:t>URL</w:t>
      </w:r>
      <w:r w:rsidRPr="000F5606">
        <w:t xml:space="preserve">:  </w:t>
      </w:r>
      <w:r w:rsidR="00FF75C9" w:rsidRPr="000F5606">
        <w:t>http://home.hiroshima-u.ac.jp/civil/admission/references.doc</w:t>
      </w:r>
    </w:p>
    <w:p w14:paraId="66EE0D11" w14:textId="616873DC" w:rsidR="004352C2" w:rsidRPr="000F5606" w:rsidRDefault="007426B0" w:rsidP="007426B0">
      <w:pPr>
        <w:ind w:leftChars="100" w:left="420" w:hangingChars="100" w:hanging="210"/>
      </w:pPr>
      <w:r w:rsidRPr="000F5606">
        <w:rPr>
          <w:rFonts w:hint="eastAsia"/>
        </w:rPr>
        <w:t>※この用紙は出願時に提出しなければなりませんので，事前に書式をダウンロードするか，上記の</w:t>
      </w:r>
      <w:r w:rsidRPr="000F5606">
        <w:rPr>
          <w:rFonts w:hint="eastAsia"/>
        </w:rPr>
        <w:t>URL</w:t>
      </w:r>
      <w:r w:rsidRPr="000F5606">
        <w:rPr>
          <w:rFonts w:hint="eastAsia"/>
        </w:rPr>
        <w:t>を事前に控えておいてください。</w:t>
      </w:r>
    </w:p>
    <w:p w14:paraId="58F3EFD2" w14:textId="77777777" w:rsidR="007426B0" w:rsidRPr="000F5606" w:rsidRDefault="007426B0" w:rsidP="006066FC"/>
    <w:p w14:paraId="20B166C5" w14:textId="0632CB06" w:rsidR="004352C2" w:rsidRPr="000F5606" w:rsidRDefault="004352C2" w:rsidP="006066FC">
      <w:pPr>
        <w:rPr>
          <w:b/>
        </w:rPr>
      </w:pPr>
      <w:r w:rsidRPr="000F5606">
        <w:rPr>
          <w:rFonts w:hint="eastAsia"/>
          <w:b/>
        </w:rPr>
        <w:t xml:space="preserve">Submission </w:t>
      </w:r>
      <w:r w:rsidRPr="000F5606">
        <w:rPr>
          <w:b/>
        </w:rPr>
        <w:t xml:space="preserve">of the list of </w:t>
      </w:r>
      <w:r w:rsidR="001F3E4B" w:rsidRPr="000F5606">
        <w:rPr>
          <w:b/>
        </w:rPr>
        <w:t xml:space="preserve">reviewed </w:t>
      </w:r>
      <w:r w:rsidRPr="000F5606">
        <w:rPr>
          <w:b/>
        </w:rPr>
        <w:t xml:space="preserve">papers regarding Essay </w:t>
      </w:r>
      <w:r w:rsidR="00F10C31">
        <w:rPr>
          <w:b/>
        </w:rPr>
        <w:t>B</w:t>
      </w:r>
      <w:r w:rsidRPr="000F5606">
        <w:rPr>
          <w:b/>
        </w:rPr>
        <w:t>("Review of previous studies regarding desired research topic")</w:t>
      </w:r>
      <w:r w:rsidRPr="000F5606">
        <w:rPr>
          <w:rFonts w:hint="eastAsia"/>
          <w:b/>
        </w:rPr>
        <w:t xml:space="preserve"> in Specialized Subject 2 of Entrance Exam Subject</w:t>
      </w:r>
    </w:p>
    <w:p w14:paraId="5578302C" w14:textId="4886DFF1" w:rsidR="004352C2" w:rsidRPr="000F5606" w:rsidRDefault="004352C2" w:rsidP="004352C2">
      <w:pPr>
        <w:ind w:leftChars="100" w:left="210"/>
      </w:pPr>
      <w:r w:rsidRPr="000F5606">
        <w:rPr>
          <w:rFonts w:hint="eastAsia"/>
        </w:rPr>
        <w:t>A</w:t>
      </w:r>
      <w:r w:rsidR="00270B08">
        <w:rPr>
          <w:rFonts w:hint="eastAsia"/>
        </w:rPr>
        <w:t xml:space="preserve">pplicants for </w:t>
      </w:r>
      <w:r w:rsidRPr="000F5606">
        <w:t>Civil and Environmental Engineering</w:t>
      </w:r>
      <w:r w:rsidR="00270B08">
        <w:rPr>
          <w:rFonts w:hint="eastAsia"/>
        </w:rPr>
        <w:t xml:space="preserve"> Program</w:t>
      </w:r>
      <w:r w:rsidRPr="000F5606">
        <w:t xml:space="preserve"> </w:t>
      </w:r>
      <w:r w:rsidR="001F3E4B" w:rsidRPr="000F5606">
        <w:t xml:space="preserve">are required to submit </w:t>
      </w:r>
      <w:r w:rsidR="00094EAC" w:rsidRPr="000F5606">
        <w:t>a</w:t>
      </w:r>
      <w:r w:rsidR="001F3E4B" w:rsidRPr="000F5606">
        <w:t xml:space="preserve"> list of reviewed papers regarding Essay </w:t>
      </w:r>
      <w:r w:rsidR="00F10C31">
        <w:t>B</w:t>
      </w:r>
      <w:r w:rsidR="001F3E4B" w:rsidRPr="000F5606">
        <w:t xml:space="preserve">("Review of previous studies regarding desired research topic") in the examination of Specialized Subject 2. The applicants can refer to </w:t>
      </w:r>
      <w:r w:rsidR="00094EAC" w:rsidRPr="000F5606">
        <w:t>the</w:t>
      </w:r>
      <w:r w:rsidR="001F3E4B" w:rsidRPr="000F5606">
        <w:t xml:space="preserve"> list when answering the question(s) of Essay </w:t>
      </w:r>
      <w:r w:rsidR="00F10C31">
        <w:t>B</w:t>
      </w:r>
      <w:r w:rsidR="001F3E4B" w:rsidRPr="000F5606">
        <w:t xml:space="preserve">("Review of previous studies regarding desired research topic"). The list must be necessarily prepared in advance, according to the format </w:t>
      </w:r>
      <w:r w:rsidR="00714772" w:rsidRPr="000F5606">
        <w:t xml:space="preserve">shown at the following URL. Please note that </w:t>
      </w:r>
      <w:r w:rsidR="006B60B4" w:rsidRPr="000F5606">
        <w:t xml:space="preserve">this list cannot be referred to when answering the question(s) </w:t>
      </w:r>
      <w:r w:rsidR="00714772" w:rsidRPr="000F5606">
        <w:t>if other descriptions than information according to the format</w:t>
      </w:r>
      <w:r w:rsidR="006B60B4" w:rsidRPr="000F5606">
        <w:t xml:space="preserve"> are included in the list</w:t>
      </w:r>
      <w:r w:rsidR="00714772" w:rsidRPr="000F5606">
        <w:t>.</w:t>
      </w:r>
    </w:p>
    <w:p w14:paraId="2CD51788" w14:textId="77777777" w:rsidR="00FF75C9" w:rsidRPr="000F5606" w:rsidRDefault="00FF75C9" w:rsidP="00FF75C9">
      <w:pPr>
        <w:ind w:leftChars="100" w:left="210"/>
        <w:jc w:val="center"/>
      </w:pPr>
      <w:r w:rsidRPr="000F5606">
        <w:rPr>
          <w:rFonts w:hint="eastAsia"/>
        </w:rPr>
        <w:t>URL</w:t>
      </w:r>
      <w:r w:rsidRPr="000F5606">
        <w:t>:  http://home.hiroshima-u.ac.jp/civil/admission/references.doc</w:t>
      </w:r>
    </w:p>
    <w:p w14:paraId="3042CD33" w14:textId="4179ED22" w:rsidR="004352C2" w:rsidRPr="000F5606" w:rsidRDefault="007426B0" w:rsidP="00C13344">
      <w:pPr>
        <w:ind w:leftChars="100" w:left="420" w:hangingChars="100" w:hanging="210"/>
      </w:pPr>
      <w:r w:rsidRPr="000F5606">
        <w:rPr>
          <w:rFonts w:hint="eastAsia"/>
        </w:rPr>
        <w:t>※</w:t>
      </w:r>
      <w:r w:rsidRPr="000F5606">
        <w:rPr>
          <w:rFonts w:hint="eastAsia"/>
        </w:rPr>
        <w:t xml:space="preserve">Since this sheet </w:t>
      </w:r>
      <w:r w:rsidR="00094EAC" w:rsidRPr="000F5606">
        <w:t>is</w:t>
      </w:r>
      <w:r w:rsidRPr="000F5606">
        <w:rPr>
          <w:rFonts w:hint="eastAsia"/>
        </w:rPr>
        <w:t xml:space="preserve"> submitted in the application,</w:t>
      </w:r>
      <w:r w:rsidRPr="000F5606">
        <w:t xml:space="preserve"> </w:t>
      </w:r>
      <w:r w:rsidR="00C13344" w:rsidRPr="000F5606">
        <w:t xml:space="preserve">download </w:t>
      </w:r>
      <w:r w:rsidRPr="000F5606">
        <w:t xml:space="preserve">the format </w:t>
      </w:r>
      <w:r w:rsidR="00094EAC" w:rsidRPr="000F5606">
        <w:t>at</w:t>
      </w:r>
      <w:r w:rsidR="00C13344" w:rsidRPr="000F5606">
        <w:t xml:space="preserve"> the above URL in advance.</w:t>
      </w:r>
    </w:p>
    <w:p w14:paraId="1B4B809E" w14:textId="06E683CB" w:rsidR="00653D8B" w:rsidRPr="00423545" w:rsidRDefault="00653D8B" w:rsidP="006066FC">
      <w:pPr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D0761A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9970-A516-4629-B3D4-39CF228A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9</cp:revision>
  <cp:lastPrinted>2012-10-03T01:24:00Z</cp:lastPrinted>
  <dcterms:created xsi:type="dcterms:W3CDTF">2015-02-27T02:28:00Z</dcterms:created>
  <dcterms:modified xsi:type="dcterms:W3CDTF">2020-06-03T05:41:00Z</dcterms:modified>
</cp:coreProperties>
</file>